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EF" w:rsidRPr="00C73E8C" w:rsidRDefault="00254EEF" w:rsidP="00254EEF">
      <w:pPr>
        <w:pStyle w:val="a5"/>
        <w:wordWrap w:val="0"/>
        <w:spacing w:after="240" w:afterAutospacing="0" w:line="420" w:lineRule="atLeast"/>
        <w:ind w:firstLine="630"/>
        <w:jc w:val="center"/>
        <w:rPr>
          <w:sz w:val="21"/>
          <w:szCs w:val="21"/>
        </w:rPr>
      </w:pPr>
      <w:r w:rsidRPr="00C73E8C">
        <w:rPr>
          <w:rStyle w:val="a6"/>
          <w:rFonts w:hint="eastAsia"/>
          <w:b w:val="0"/>
          <w:sz w:val="48"/>
          <w:szCs w:val="48"/>
        </w:rPr>
        <w:t>国家食品药品监督管理总局令</w:t>
      </w:r>
      <w:r w:rsidRPr="00C73E8C">
        <w:rPr>
          <w:rFonts w:hint="eastAsia"/>
          <w:bCs/>
          <w:sz w:val="18"/>
          <w:szCs w:val="18"/>
        </w:rPr>
        <w:br/>
      </w:r>
      <w:r w:rsidRPr="00C73E8C">
        <w:rPr>
          <w:rFonts w:hint="eastAsia"/>
          <w:sz w:val="18"/>
          <w:szCs w:val="18"/>
        </w:rPr>
        <w:br/>
      </w:r>
      <w:r w:rsidRPr="00C73E8C">
        <w:rPr>
          <w:rFonts w:hint="eastAsia"/>
          <w:sz w:val="18"/>
          <w:szCs w:val="18"/>
        </w:rPr>
        <w:br/>
      </w:r>
      <w:r w:rsidRPr="00C73E8C">
        <w:rPr>
          <w:rFonts w:hint="eastAsia"/>
        </w:rPr>
        <w:t>第 4 号</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《医疗器械注册管理办法》已于2014年6月27日经国家食品药品监督管理总局局务会议审议通过，现予公布，自2014年10月1日起施行。</w:t>
      </w:r>
    </w:p>
    <w:p w:rsidR="00254EEF" w:rsidRPr="00C73E8C" w:rsidRDefault="00254EEF" w:rsidP="00254EEF">
      <w:pPr>
        <w:pStyle w:val="a5"/>
        <w:wordWrap w:val="0"/>
        <w:spacing w:line="420" w:lineRule="atLeast"/>
        <w:rPr>
          <w:sz w:val="21"/>
          <w:szCs w:val="21"/>
        </w:rPr>
      </w:pPr>
      <w:r w:rsidRPr="00C73E8C">
        <w:rPr>
          <w:rFonts w:hint="eastAsia"/>
          <w:sz w:val="18"/>
          <w:szCs w:val="18"/>
        </w:rPr>
        <w:br/>
      </w:r>
      <w:r w:rsidRPr="00C73E8C">
        <w:rPr>
          <w:rFonts w:hint="eastAsia"/>
          <w:sz w:val="21"/>
          <w:szCs w:val="21"/>
        </w:rPr>
        <w:t xml:space="preserve">　　　　　　　　　　　　　　　　　　　　　　　　　　　　　　　　　　　　　　　　　局　长　　张勇</w:t>
      </w:r>
      <w:r w:rsidRPr="00C73E8C">
        <w:rPr>
          <w:rFonts w:hint="eastAsia"/>
          <w:sz w:val="18"/>
          <w:szCs w:val="18"/>
        </w:rPr>
        <w:br/>
      </w:r>
      <w:r w:rsidRPr="00C73E8C">
        <w:rPr>
          <w:rFonts w:hint="eastAsia"/>
          <w:sz w:val="21"/>
          <w:szCs w:val="21"/>
        </w:rPr>
        <w:t xml:space="preserve">　　　　　　　　　　　　　　　　　　　　　　　　　　　　　　　　　　　　　　　　　 2014年7月30日</w:t>
      </w:r>
    </w:p>
    <w:p w:rsidR="00254EEF" w:rsidRPr="00C73E8C" w:rsidRDefault="00254EEF" w:rsidP="00254EEF">
      <w:pPr>
        <w:pStyle w:val="a5"/>
        <w:wordWrap w:val="0"/>
        <w:spacing w:line="420" w:lineRule="atLeast"/>
        <w:jc w:val="center"/>
        <w:rPr>
          <w:sz w:val="21"/>
          <w:szCs w:val="21"/>
        </w:rPr>
      </w:pPr>
      <w:r w:rsidRPr="00C73E8C">
        <w:rPr>
          <w:rFonts w:hint="eastAsia"/>
          <w:sz w:val="18"/>
          <w:szCs w:val="18"/>
        </w:rPr>
        <w:br/>
      </w:r>
      <w:r w:rsidRPr="00C73E8C">
        <w:rPr>
          <w:rStyle w:val="a6"/>
          <w:rFonts w:hint="eastAsia"/>
          <w:b w:val="0"/>
          <w:sz w:val="21"/>
          <w:szCs w:val="21"/>
        </w:rPr>
        <w:t>医疗器械注册管理办法</w:t>
      </w:r>
    </w:p>
    <w:p w:rsidR="00254EEF" w:rsidRPr="00C73E8C" w:rsidRDefault="00254EEF" w:rsidP="00254EEF">
      <w:pPr>
        <w:pStyle w:val="a5"/>
        <w:wordWrap w:val="0"/>
        <w:spacing w:line="420" w:lineRule="atLeast"/>
        <w:jc w:val="center"/>
        <w:rPr>
          <w:sz w:val="21"/>
          <w:szCs w:val="21"/>
        </w:rPr>
      </w:pPr>
      <w:r w:rsidRPr="00C73E8C">
        <w:rPr>
          <w:rFonts w:hint="eastAsia"/>
          <w:sz w:val="21"/>
          <w:szCs w:val="21"/>
        </w:rPr>
        <w:t>第一章　总　则</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第一条　为规范医疗器械的注册与备案管理，保证医疗器械的安全、有效，根据《医疗器械监督管理条例》，制定本办法。</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第二条　在中华人民共和国境内销售、使用的医疗器械,应当按照本办法的规定申请注册或者办理备案。</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第三条　医疗器械注册是食品药品监督管理部门根据医疗器械注册申请人的申请，依照法定程序，对其拟上市医疗器械的安全性、有效性研究及其结果进行系统评价，以决定是否同意其申请的过程。</w:t>
      </w:r>
      <w:r w:rsidRPr="00C73E8C">
        <w:rPr>
          <w:rFonts w:hint="eastAsia"/>
          <w:sz w:val="18"/>
          <w:szCs w:val="18"/>
        </w:rPr>
        <w:br/>
      </w:r>
      <w:r w:rsidRPr="00C73E8C">
        <w:rPr>
          <w:rFonts w:hint="eastAsia"/>
          <w:sz w:val="21"/>
          <w:szCs w:val="21"/>
        </w:rPr>
        <w:t xml:space="preserve">　　医疗器械备案是医疗器械备案人向食品药品监督管理部门提交备案资料，食品药品监督管理部门对提交的备案资料存档备查。</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第四条　医疗器械注册与备案应当遵循公开、公平、公正的原则。</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第五条　第一类医疗器械实行备案管理。第二类、第三类医疗器械实行注册管理。</w:t>
      </w:r>
      <w:r w:rsidRPr="00C73E8C">
        <w:rPr>
          <w:rFonts w:hint="eastAsia"/>
          <w:sz w:val="18"/>
          <w:szCs w:val="18"/>
        </w:rPr>
        <w:br/>
      </w:r>
      <w:r w:rsidRPr="00C73E8C">
        <w:rPr>
          <w:rFonts w:hint="eastAsia"/>
          <w:sz w:val="21"/>
          <w:szCs w:val="21"/>
        </w:rPr>
        <w:t xml:space="preserve">　　境内第一类医疗器械备案，备案人向设区的市级食品药品监督管理部门提交备案资料。</w:t>
      </w:r>
      <w:r w:rsidRPr="00C73E8C">
        <w:rPr>
          <w:rFonts w:hint="eastAsia"/>
          <w:sz w:val="18"/>
          <w:szCs w:val="18"/>
        </w:rPr>
        <w:br/>
      </w:r>
      <w:r w:rsidRPr="00C73E8C">
        <w:rPr>
          <w:rFonts w:hint="eastAsia"/>
          <w:sz w:val="21"/>
          <w:szCs w:val="21"/>
        </w:rPr>
        <w:lastRenderedPageBreak/>
        <w:t xml:space="preserve">　　境内第二类医疗器械由省、自治区、直辖市食品药品监督管理部门审查，批准后发给医疗器械注册证。</w:t>
      </w:r>
      <w:r w:rsidRPr="00C73E8C">
        <w:rPr>
          <w:rFonts w:hint="eastAsia"/>
          <w:sz w:val="18"/>
          <w:szCs w:val="18"/>
        </w:rPr>
        <w:br/>
      </w:r>
      <w:r w:rsidRPr="00C73E8C">
        <w:rPr>
          <w:rFonts w:hint="eastAsia"/>
          <w:sz w:val="21"/>
          <w:szCs w:val="21"/>
        </w:rPr>
        <w:t xml:space="preserve">　　境内第三类医疗器械由国家食品药品监督管理总局审查，批准后发给医疗器械注册证。</w:t>
      </w:r>
      <w:r w:rsidRPr="00C73E8C">
        <w:rPr>
          <w:rFonts w:hint="eastAsia"/>
          <w:sz w:val="18"/>
          <w:szCs w:val="18"/>
        </w:rPr>
        <w:br/>
      </w:r>
      <w:r w:rsidRPr="00C73E8C">
        <w:rPr>
          <w:rFonts w:hint="eastAsia"/>
          <w:sz w:val="21"/>
          <w:szCs w:val="21"/>
        </w:rPr>
        <w:t xml:space="preserve">　　进口第一类医疗器械备案，备案人向国家食品药品监督管理总局提交备案资料。</w:t>
      </w:r>
      <w:r w:rsidRPr="00C73E8C">
        <w:rPr>
          <w:rFonts w:hint="eastAsia"/>
          <w:sz w:val="18"/>
          <w:szCs w:val="18"/>
        </w:rPr>
        <w:br/>
      </w:r>
      <w:r w:rsidRPr="00C73E8C">
        <w:rPr>
          <w:rFonts w:hint="eastAsia"/>
          <w:sz w:val="21"/>
          <w:szCs w:val="21"/>
        </w:rPr>
        <w:t xml:space="preserve">　　进口第二类、第三类医疗器械由国家食品药品监督管理总局审查，批准后发给医疗器械注册证。</w:t>
      </w:r>
      <w:r w:rsidRPr="00C73E8C">
        <w:rPr>
          <w:rFonts w:hint="eastAsia"/>
          <w:sz w:val="18"/>
          <w:szCs w:val="18"/>
        </w:rPr>
        <w:br/>
      </w:r>
      <w:r w:rsidRPr="00C73E8C">
        <w:rPr>
          <w:rFonts w:hint="eastAsia"/>
          <w:sz w:val="21"/>
          <w:szCs w:val="21"/>
        </w:rPr>
        <w:t xml:space="preserve">　　香港、澳门、台湾地区医疗器械的注册、备案，参照进口医疗器械办理。</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第六条　医疗器械注册人、备案人以自己名义把产品推向市场，对产品负法律责任。</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第七条　食品药品监督管理部门依法及时公布医疗器械注册、备案相关信息。申请人可以查询审批进度和结果，公众可以查阅审批结果。</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第八条　国家鼓励医疗器械的研究与创新，对创新医疗器械实行特别审批，促进医疗器械新技术的推广与应用，推动医疗器械产业的发展。</w:t>
      </w:r>
    </w:p>
    <w:p w:rsidR="00254EEF" w:rsidRPr="00C73E8C" w:rsidRDefault="00254EEF" w:rsidP="00254EEF">
      <w:pPr>
        <w:pStyle w:val="a5"/>
        <w:wordWrap w:val="0"/>
        <w:spacing w:line="420" w:lineRule="atLeast"/>
        <w:jc w:val="center"/>
        <w:rPr>
          <w:sz w:val="21"/>
          <w:szCs w:val="21"/>
        </w:rPr>
      </w:pPr>
      <w:r w:rsidRPr="00C73E8C">
        <w:rPr>
          <w:rFonts w:hint="eastAsia"/>
          <w:sz w:val="21"/>
          <w:szCs w:val="21"/>
        </w:rPr>
        <w:t>第二章　基本要求</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第九条　医疗器械注册申请人和备案人应当建立与产品研制、生产有关的质量管理体系，并保持有效运行。</w:t>
      </w:r>
      <w:r w:rsidRPr="00C73E8C">
        <w:rPr>
          <w:rFonts w:hint="eastAsia"/>
          <w:sz w:val="18"/>
          <w:szCs w:val="18"/>
        </w:rPr>
        <w:br/>
      </w:r>
      <w:r w:rsidRPr="00C73E8C">
        <w:rPr>
          <w:rFonts w:hint="eastAsia"/>
          <w:sz w:val="21"/>
          <w:szCs w:val="21"/>
        </w:rPr>
        <w:t xml:space="preserve">　　按照创新医疗器械特别审批程序审批的境内医疗器械申请注册时，样品委托其他企业生产的，应当委托具有相应生产范围的医疗器械生产企业；不属于按照创新医疗器械特别审批程序审批的境内医疗器械申请注册时，样品不得委托其他企业生产。</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第十条　办理医疗器械注册或者备案事务的人员应当具有相应的专业知识，熟悉医疗器械注册或者备案管理的法律、法规、规章和技术要求。</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第十一条　申请人或者备案人申请注册或者办理备案，应当遵循医疗器械安全有效基本要求，保证研制过程规范，所有数据真实、完整和可溯源。</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第十二条　申请注册或者办理备案的资料应当使用中文。根据外文资料翻译的，应当同时提供原文。引用未公开发表的文献资料时，应当提供资料所有者许可使用的证明文件。</w:t>
      </w:r>
      <w:r w:rsidRPr="00C73E8C">
        <w:rPr>
          <w:rFonts w:hint="eastAsia"/>
          <w:sz w:val="18"/>
          <w:szCs w:val="18"/>
        </w:rPr>
        <w:br/>
      </w:r>
      <w:r w:rsidRPr="00C73E8C">
        <w:rPr>
          <w:rFonts w:hint="eastAsia"/>
          <w:sz w:val="21"/>
          <w:szCs w:val="21"/>
        </w:rPr>
        <w:t xml:space="preserve">　　申请人、备案人对资料的真实性负责。</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第十三条　申请注册或者办理备案的进口医疗器械，应当在申请人或者备案人注册地或者生产地址所在国家（地区）已获准上市销售。</w:t>
      </w:r>
      <w:r w:rsidRPr="00C73E8C">
        <w:rPr>
          <w:rFonts w:hint="eastAsia"/>
          <w:sz w:val="18"/>
          <w:szCs w:val="18"/>
        </w:rPr>
        <w:br/>
      </w:r>
      <w:r w:rsidRPr="00C73E8C">
        <w:rPr>
          <w:rFonts w:hint="eastAsia"/>
          <w:sz w:val="21"/>
          <w:szCs w:val="21"/>
        </w:rPr>
        <w:lastRenderedPageBreak/>
        <w:t xml:space="preserve">　　申请人或者备案人注册地或者生产地址所在国家（地区）未将该产品作为医疗器械管理的，申请人或者备案人需提供相关证明文件，包括注册地或者生产地址所在国家（地区）准许该产品上市销售的证明文件。</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第十四条　境外申请人或者备案人应当通过其在中国境内设立的代表机构或者指定中国境内的企业法人作为代理人，配合境外申请人或者备案人开展相关工作。</w:t>
      </w:r>
      <w:r w:rsidRPr="00C73E8C">
        <w:rPr>
          <w:rFonts w:hint="eastAsia"/>
          <w:sz w:val="18"/>
          <w:szCs w:val="18"/>
        </w:rPr>
        <w:br/>
      </w:r>
      <w:r w:rsidRPr="00C73E8C">
        <w:rPr>
          <w:rFonts w:hint="eastAsia"/>
          <w:sz w:val="21"/>
          <w:szCs w:val="21"/>
        </w:rPr>
        <w:t xml:space="preserve">　　代理人除办理医疗器械注册或者备案事宜外，还应当承担以下责任：</w:t>
      </w:r>
      <w:r w:rsidRPr="00C73E8C">
        <w:rPr>
          <w:rFonts w:hint="eastAsia"/>
          <w:sz w:val="18"/>
          <w:szCs w:val="18"/>
        </w:rPr>
        <w:br/>
      </w:r>
      <w:r w:rsidRPr="00C73E8C">
        <w:rPr>
          <w:rFonts w:hint="eastAsia"/>
          <w:sz w:val="21"/>
          <w:szCs w:val="21"/>
        </w:rPr>
        <w:t xml:space="preserve">　　（一）与相应食品药品监督管理部门、境外申请人或者备案人的联络；</w:t>
      </w:r>
      <w:r w:rsidRPr="00C73E8C">
        <w:rPr>
          <w:rFonts w:hint="eastAsia"/>
          <w:sz w:val="18"/>
          <w:szCs w:val="18"/>
        </w:rPr>
        <w:br/>
      </w:r>
      <w:r w:rsidRPr="00C73E8C">
        <w:rPr>
          <w:rFonts w:hint="eastAsia"/>
          <w:sz w:val="21"/>
          <w:szCs w:val="21"/>
        </w:rPr>
        <w:t xml:space="preserve">　　（二）向申请人或者备案人如实、准确传达相关的法规和技术要求；</w:t>
      </w:r>
      <w:r w:rsidRPr="00C73E8C">
        <w:rPr>
          <w:rFonts w:hint="eastAsia"/>
          <w:sz w:val="18"/>
          <w:szCs w:val="18"/>
        </w:rPr>
        <w:br/>
      </w:r>
      <w:r w:rsidRPr="00C73E8C">
        <w:rPr>
          <w:rFonts w:hint="eastAsia"/>
          <w:sz w:val="21"/>
          <w:szCs w:val="21"/>
        </w:rPr>
        <w:t xml:space="preserve">　　（三）收集上市后医疗器械不良事件信息并反馈境外注册人或者备案人，同时向相应的食品药品监督管理部门报告；</w:t>
      </w:r>
      <w:r w:rsidRPr="00C73E8C">
        <w:rPr>
          <w:rFonts w:hint="eastAsia"/>
          <w:sz w:val="18"/>
          <w:szCs w:val="18"/>
        </w:rPr>
        <w:br/>
      </w:r>
      <w:r w:rsidRPr="00C73E8C">
        <w:rPr>
          <w:rFonts w:hint="eastAsia"/>
          <w:sz w:val="21"/>
          <w:szCs w:val="21"/>
        </w:rPr>
        <w:t xml:space="preserve">　　（四）协调医疗器械上市后的产品召回工作，并向相应的食品药品监督管理部门报告；</w:t>
      </w:r>
      <w:r w:rsidRPr="00C73E8C">
        <w:rPr>
          <w:rFonts w:hint="eastAsia"/>
          <w:sz w:val="18"/>
          <w:szCs w:val="18"/>
        </w:rPr>
        <w:br/>
      </w:r>
      <w:r w:rsidRPr="00C73E8C">
        <w:rPr>
          <w:rFonts w:hint="eastAsia"/>
          <w:sz w:val="21"/>
          <w:szCs w:val="21"/>
        </w:rPr>
        <w:t xml:space="preserve">　　（五）其他涉及产品质量和售后服务的连带责任。</w:t>
      </w:r>
    </w:p>
    <w:p w:rsidR="00254EEF" w:rsidRPr="00C73E8C" w:rsidRDefault="00254EEF" w:rsidP="00254EEF">
      <w:pPr>
        <w:pStyle w:val="a5"/>
        <w:wordWrap w:val="0"/>
        <w:spacing w:line="420" w:lineRule="atLeast"/>
        <w:jc w:val="center"/>
        <w:rPr>
          <w:sz w:val="21"/>
          <w:szCs w:val="21"/>
        </w:rPr>
      </w:pPr>
      <w:r w:rsidRPr="00C73E8C">
        <w:rPr>
          <w:rFonts w:hint="eastAsia"/>
          <w:sz w:val="21"/>
          <w:szCs w:val="21"/>
        </w:rPr>
        <w:t>第三章　产品技术要求和注册检验</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第十五条　申请人或者备案人应当编制拟注册或者备案医疗器械的产品技术要求。第一类医疗器械的产品技术要求由备案人办理备案时提交食品药品监督管理部门。第二类、第三类医疗器械的产品技术要求由食品药品监督管理部门在批准注册时予以核准。</w:t>
      </w:r>
      <w:r w:rsidRPr="00C73E8C">
        <w:rPr>
          <w:rFonts w:hint="eastAsia"/>
          <w:sz w:val="18"/>
          <w:szCs w:val="18"/>
        </w:rPr>
        <w:br/>
      </w:r>
      <w:r w:rsidRPr="00C73E8C">
        <w:rPr>
          <w:rFonts w:hint="eastAsia"/>
          <w:sz w:val="21"/>
          <w:szCs w:val="21"/>
        </w:rPr>
        <w:t xml:space="preserve">　　产品技术要求主要包括医疗器械成品的性能指标和检验方法，其中性能指标是指可进行客观判定的成品的功能性、安全性指标以及与质量控制相关的其他指标。</w:t>
      </w:r>
      <w:r w:rsidRPr="00C73E8C">
        <w:rPr>
          <w:rFonts w:hint="eastAsia"/>
          <w:sz w:val="18"/>
          <w:szCs w:val="18"/>
        </w:rPr>
        <w:br/>
      </w:r>
      <w:r w:rsidRPr="00C73E8C">
        <w:rPr>
          <w:rFonts w:hint="eastAsia"/>
          <w:sz w:val="21"/>
          <w:szCs w:val="21"/>
        </w:rPr>
        <w:t xml:space="preserve">　　在中国上市的医疗器械应当符合经注册核准或者备案的产品技术要求。</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第十六条　申请第二类、第三类医疗器械注册，应当进行注册检验。医疗器械检验机构应当依据产品技术要求对相关产品进行注册检验。</w:t>
      </w:r>
      <w:r w:rsidRPr="00C73E8C">
        <w:rPr>
          <w:rFonts w:hint="eastAsia"/>
          <w:sz w:val="18"/>
          <w:szCs w:val="18"/>
        </w:rPr>
        <w:br/>
      </w:r>
      <w:r w:rsidRPr="00C73E8C">
        <w:rPr>
          <w:rFonts w:hint="eastAsia"/>
          <w:sz w:val="21"/>
          <w:szCs w:val="21"/>
        </w:rPr>
        <w:t xml:space="preserve">　　注册检验样品的生产应当符合医疗器械质量管理体系的相关要求，注册检验合格的方可进行临床试验或者申请注册。</w:t>
      </w:r>
      <w:r w:rsidRPr="00C73E8C">
        <w:rPr>
          <w:rFonts w:hint="eastAsia"/>
          <w:sz w:val="18"/>
          <w:szCs w:val="18"/>
        </w:rPr>
        <w:br/>
      </w:r>
      <w:r w:rsidRPr="00C73E8C">
        <w:rPr>
          <w:rFonts w:hint="eastAsia"/>
          <w:sz w:val="21"/>
          <w:szCs w:val="21"/>
        </w:rPr>
        <w:t xml:space="preserve">　　办理第一类医疗器械备案的，备案人可以提交产品自检报告。</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第十七条　申请注册检验，申请人应当向检验机构提供注册检验所需要的有关技术资料、注册检验用样品及产品技术要求。</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第十八条　医疗器械检验机构应当具有医疗器械检验资质、在其承检范围内进行检验，并对申请人提交的产品技术要求进行预评价。预评价意见随注册检验报告一同出具给申请人。</w:t>
      </w:r>
      <w:r w:rsidRPr="00C73E8C">
        <w:rPr>
          <w:rFonts w:hint="eastAsia"/>
          <w:sz w:val="18"/>
          <w:szCs w:val="18"/>
        </w:rPr>
        <w:br/>
      </w:r>
      <w:r w:rsidRPr="00C73E8C">
        <w:rPr>
          <w:rFonts w:hint="eastAsia"/>
          <w:sz w:val="21"/>
          <w:szCs w:val="21"/>
        </w:rPr>
        <w:lastRenderedPageBreak/>
        <w:t xml:space="preserve">　　尚未列入医疗器械检验机构承检范围的医疗器械，由相应的注册审批部门指定有能力的检验机构进行检验。</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第十九条　同一注册单元内所检验的产品应当能够代表本注册单元内其他产品的安全性和有效性。</w:t>
      </w:r>
    </w:p>
    <w:p w:rsidR="00254EEF" w:rsidRPr="00C73E8C" w:rsidRDefault="00254EEF" w:rsidP="00254EEF">
      <w:pPr>
        <w:pStyle w:val="a5"/>
        <w:wordWrap w:val="0"/>
        <w:spacing w:line="420" w:lineRule="atLeast"/>
        <w:jc w:val="center"/>
        <w:rPr>
          <w:sz w:val="21"/>
          <w:szCs w:val="21"/>
        </w:rPr>
      </w:pPr>
      <w:r w:rsidRPr="00C73E8C">
        <w:rPr>
          <w:rFonts w:hint="eastAsia"/>
          <w:sz w:val="21"/>
          <w:szCs w:val="21"/>
        </w:rPr>
        <w:t>第四章　临床评价</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第二十条　医疗器械临床评价是指申请人或者备案人通过临床文献资料、临床经验数据、临床试验等信息对产品是否满足使用要求或者适用范围进行确认的过程。</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第二十一条　临床评价资料是指申请人或者备案人进行临床评价所形成的文件。</w:t>
      </w:r>
      <w:r w:rsidRPr="00C73E8C">
        <w:rPr>
          <w:rFonts w:hint="eastAsia"/>
          <w:sz w:val="18"/>
          <w:szCs w:val="18"/>
        </w:rPr>
        <w:br/>
      </w:r>
      <w:r w:rsidRPr="00C73E8C">
        <w:rPr>
          <w:rFonts w:hint="eastAsia"/>
          <w:sz w:val="21"/>
          <w:szCs w:val="21"/>
        </w:rPr>
        <w:t xml:space="preserve">　　需要进行临床试验的，提交的临床评价资料应当包括临床试验方案和临床试验报告。</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第二十二条　办理第一类医疗器械备案，不需进行临床试验。申请第二类、第三类医疗器械注册，应当进行临床试验。</w:t>
      </w:r>
      <w:r w:rsidRPr="00C73E8C">
        <w:rPr>
          <w:rFonts w:hint="eastAsia"/>
          <w:sz w:val="18"/>
          <w:szCs w:val="18"/>
        </w:rPr>
        <w:br/>
      </w:r>
      <w:r w:rsidRPr="00C73E8C">
        <w:rPr>
          <w:rFonts w:hint="eastAsia"/>
          <w:sz w:val="21"/>
          <w:szCs w:val="21"/>
        </w:rPr>
        <w:t xml:space="preserve">　　有下列情形之一的，可以免于进行临床试验：</w:t>
      </w:r>
      <w:r w:rsidRPr="00C73E8C">
        <w:rPr>
          <w:rFonts w:hint="eastAsia"/>
          <w:sz w:val="18"/>
          <w:szCs w:val="18"/>
        </w:rPr>
        <w:br/>
      </w:r>
      <w:r w:rsidRPr="00C73E8C">
        <w:rPr>
          <w:rFonts w:hint="eastAsia"/>
          <w:sz w:val="21"/>
          <w:szCs w:val="21"/>
        </w:rPr>
        <w:t xml:space="preserve">　　（一）工作机理明确、设计定型，生产工艺成熟，已上市的同品种医疗器械临床应用多年且无严重不良事件记录，不改变常规用途的；</w:t>
      </w:r>
      <w:r w:rsidRPr="00C73E8C">
        <w:rPr>
          <w:rFonts w:hint="eastAsia"/>
          <w:sz w:val="18"/>
          <w:szCs w:val="18"/>
        </w:rPr>
        <w:br/>
      </w:r>
      <w:r w:rsidRPr="00C73E8C">
        <w:rPr>
          <w:rFonts w:hint="eastAsia"/>
          <w:sz w:val="21"/>
          <w:szCs w:val="21"/>
        </w:rPr>
        <w:t xml:space="preserve">　　（二）通过非临床评价能够证明该医疗器械安全、有效的；</w:t>
      </w:r>
      <w:r w:rsidRPr="00C73E8C">
        <w:rPr>
          <w:rFonts w:hint="eastAsia"/>
          <w:sz w:val="18"/>
          <w:szCs w:val="18"/>
        </w:rPr>
        <w:br/>
      </w:r>
      <w:r w:rsidRPr="00C73E8C">
        <w:rPr>
          <w:rFonts w:hint="eastAsia"/>
          <w:sz w:val="21"/>
          <w:szCs w:val="21"/>
        </w:rPr>
        <w:t xml:space="preserve">　　（三）通过对同品种医疗器械临床试验或者临床使用获得的数据进行分析评价，能够证明该医疗器械安全、有效的。</w:t>
      </w:r>
      <w:r w:rsidRPr="00C73E8C">
        <w:rPr>
          <w:rFonts w:hint="eastAsia"/>
          <w:sz w:val="18"/>
          <w:szCs w:val="18"/>
        </w:rPr>
        <w:br/>
      </w:r>
      <w:r w:rsidRPr="00C73E8C">
        <w:rPr>
          <w:rFonts w:hint="eastAsia"/>
          <w:sz w:val="21"/>
          <w:szCs w:val="21"/>
        </w:rPr>
        <w:t xml:space="preserve">　　免于进行临床试验的医疗器械目录由国家食品药品监督管理总局制定、调整并公布。未列入免于进行临床试验的医疗器械目录的产品，通过对同品种医疗器械临床试验或者临床使用获得的数据进行分析评价，能够证明该医疗器械安全、有效的，申请人可以在申报注册时予以说明，并提交相关证明资料。</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第二十三条　开展医疗器械临床试验，应当按照医疗器械临床试验质量管理规范的要求，在取得资质的临床试验机构内进行。临床试验样品的生产应当符合医疗器械质量管理体系的相关要求。</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第二十四条　第三类医疗器械进行临床试验对人体具有较高风险的，应当经国家食品药品监督管理总局批准。需进行临床试验审批的第三类医疗器械目录由国家食品药品监督管理总局制定、调整并公布。</w:t>
      </w:r>
    </w:p>
    <w:p w:rsidR="00254EEF" w:rsidRPr="00C73E8C" w:rsidRDefault="00254EEF" w:rsidP="00254EEF">
      <w:pPr>
        <w:pStyle w:val="a5"/>
        <w:wordWrap w:val="0"/>
        <w:spacing w:line="420" w:lineRule="atLeast"/>
        <w:rPr>
          <w:sz w:val="21"/>
          <w:szCs w:val="21"/>
        </w:rPr>
      </w:pPr>
      <w:r w:rsidRPr="00C73E8C">
        <w:rPr>
          <w:rFonts w:hint="eastAsia"/>
          <w:sz w:val="21"/>
          <w:szCs w:val="21"/>
        </w:rPr>
        <w:lastRenderedPageBreak/>
        <w:t xml:space="preserve">　　第二十五条　临床试验审批是指国家食品药品监督管理总局根据申请人的申请，对拟开展临床试验的医疗器械的风险程度、临床试验方案、临床受益与风险对比分析报告等进行综合分析，以决定是否同意开展临床试验的过程。</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第二十六条　需进行医疗器械临床试验审批的，申请人应当按照相关要求向国家食品药品监督管理总局报送申报资料。</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第二十七条　国家食品药品监督管理总局受理医疗器械临床试验审批申请后，应当自受理申请之日起3个工作日内将申报资料转交医疗器械技术审评机构。</w:t>
      </w:r>
      <w:r w:rsidRPr="00C73E8C">
        <w:rPr>
          <w:rFonts w:hint="eastAsia"/>
          <w:sz w:val="18"/>
          <w:szCs w:val="18"/>
        </w:rPr>
        <w:br/>
      </w:r>
      <w:r w:rsidRPr="00C73E8C">
        <w:rPr>
          <w:rFonts w:hint="eastAsia"/>
          <w:sz w:val="21"/>
          <w:szCs w:val="21"/>
        </w:rPr>
        <w:t xml:space="preserve">　　技术审评机构应当在40个工作日内完成技术审评。国家食品药品监督管理总局应当在技术审评结束后20个工作日内作出决定。准予开展临床试验的，发给医疗器械临床试验批件；不予批准的，应当书面说明理由。</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第二十八条　技术审评过程中需要申请人补正资料的，技术审评机构应当一次告知需要补正的全部内容。申请人应当在1年内按照补正通知的要求一次提供补充资料。技术审评机构应当自收到补充资料之日起40个工作日内完成技术审评。申请人补充资料的时间不计算在审评时限内。</w:t>
      </w:r>
      <w:r w:rsidRPr="00C73E8C">
        <w:rPr>
          <w:rFonts w:hint="eastAsia"/>
          <w:sz w:val="18"/>
          <w:szCs w:val="18"/>
        </w:rPr>
        <w:br/>
      </w:r>
      <w:r w:rsidRPr="00C73E8C">
        <w:rPr>
          <w:rFonts w:hint="eastAsia"/>
          <w:sz w:val="21"/>
          <w:szCs w:val="21"/>
        </w:rPr>
        <w:t xml:space="preserve">　　申请人逾期未提交补充资料的，由技术审评机构终止技术审评，提出不予批准的建议，国家食品药品监督管理总局核准后作出不予批准的决定。</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第二十九条　有下列情形之一的，国家食品药品监督管理总局应当撤销已获得的医疗器械临床试验批准文件：</w:t>
      </w:r>
      <w:r w:rsidRPr="00C73E8C">
        <w:rPr>
          <w:rFonts w:hint="eastAsia"/>
          <w:sz w:val="18"/>
          <w:szCs w:val="18"/>
        </w:rPr>
        <w:br/>
      </w:r>
      <w:r w:rsidRPr="00C73E8C">
        <w:rPr>
          <w:rFonts w:hint="eastAsia"/>
          <w:sz w:val="21"/>
          <w:szCs w:val="21"/>
        </w:rPr>
        <w:t xml:space="preserve">　　（一）临床试验申报资料虚假的;</w:t>
      </w:r>
      <w:r w:rsidRPr="00C73E8C">
        <w:rPr>
          <w:rFonts w:hint="eastAsia"/>
          <w:sz w:val="18"/>
          <w:szCs w:val="18"/>
        </w:rPr>
        <w:br/>
      </w:r>
      <w:r w:rsidRPr="00C73E8C">
        <w:rPr>
          <w:rFonts w:hint="eastAsia"/>
          <w:sz w:val="21"/>
          <w:szCs w:val="21"/>
        </w:rPr>
        <w:t xml:space="preserve">　　（二）已有最新研究证实原批准的临床试验伦理性和科学性存在问题的;</w:t>
      </w:r>
      <w:r w:rsidRPr="00C73E8C">
        <w:rPr>
          <w:rFonts w:hint="eastAsia"/>
          <w:sz w:val="18"/>
          <w:szCs w:val="18"/>
        </w:rPr>
        <w:br/>
      </w:r>
      <w:r w:rsidRPr="00C73E8C">
        <w:rPr>
          <w:rFonts w:hint="eastAsia"/>
          <w:sz w:val="21"/>
          <w:szCs w:val="21"/>
        </w:rPr>
        <w:t xml:space="preserve">　　（三）其他应当撤销的情形。</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第三十条　医疗器械临床试验应当在批准后3年内实施；逾期未实施的，原批准文件自行废止，仍需进行临床试验的，应当重新申请。</w:t>
      </w:r>
    </w:p>
    <w:p w:rsidR="00254EEF" w:rsidRPr="00C73E8C" w:rsidRDefault="00254EEF" w:rsidP="00254EEF">
      <w:pPr>
        <w:pStyle w:val="a5"/>
        <w:wordWrap w:val="0"/>
        <w:spacing w:line="420" w:lineRule="atLeast"/>
        <w:jc w:val="center"/>
        <w:rPr>
          <w:sz w:val="21"/>
          <w:szCs w:val="21"/>
        </w:rPr>
      </w:pPr>
      <w:r w:rsidRPr="00C73E8C">
        <w:rPr>
          <w:rFonts w:hint="eastAsia"/>
          <w:sz w:val="21"/>
          <w:szCs w:val="21"/>
        </w:rPr>
        <w:t>第五章　产品注册</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第三十一条　申请医疗器械注册，申请人应当按照相关要求向食品药品监督管理部门报送申报资料。</w:t>
      </w:r>
    </w:p>
    <w:p w:rsidR="00254EEF" w:rsidRPr="00C73E8C" w:rsidRDefault="00254EEF" w:rsidP="00254EEF">
      <w:pPr>
        <w:pStyle w:val="a5"/>
        <w:wordWrap w:val="0"/>
        <w:spacing w:line="420" w:lineRule="atLeast"/>
        <w:rPr>
          <w:sz w:val="21"/>
          <w:szCs w:val="21"/>
        </w:rPr>
      </w:pPr>
      <w:r w:rsidRPr="00C73E8C">
        <w:rPr>
          <w:rFonts w:hint="eastAsia"/>
          <w:sz w:val="21"/>
          <w:szCs w:val="21"/>
        </w:rPr>
        <w:lastRenderedPageBreak/>
        <w:t xml:space="preserve">　　第三十二条　食品药品监督管理部门收到申请后对申报资料进行形式审查，并根据下列情况分别作出处理：</w:t>
      </w:r>
      <w:r w:rsidRPr="00C73E8C">
        <w:rPr>
          <w:rFonts w:hint="eastAsia"/>
          <w:sz w:val="18"/>
          <w:szCs w:val="18"/>
        </w:rPr>
        <w:br/>
      </w:r>
      <w:r w:rsidRPr="00C73E8C">
        <w:rPr>
          <w:rFonts w:hint="eastAsia"/>
          <w:sz w:val="21"/>
          <w:szCs w:val="21"/>
        </w:rPr>
        <w:t xml:space="preserve">　　（一）申请事项属于本部门职权范围，申报资料齐全、符合形式审查要求的，予以受理；</w:t>
      </w:r>
      <w:r w:rsidRPr="00C73E8C">
        <w:rPr>
          <w:rFonts w:hint="eastAsia"/>
          <w:sz w:val="18"/>
          <w:szCs w:val="18"/>
        </w:rPr>
        <w:br/>
      </w:r>
      <w:r w:rsidRPr="00C73E8C">
        <w:rPr>
          <w:rFonts w:hint="eastAsia"/>
          <w:sz w:val="21"/>
          <w:szCs w:val="21"/>
        </w:rPr>
        <w:t xml:space="preserve">　　（二）申报资料存在可以当场更正的错误的，应当允许申请人当场更正；</w:t>
      </w:r>
      <w:r w:rsidRPr="00C73E8C">
        <w:rPr>
          <w:rFonts w:hint="eastAsia"/>
          <w:sz w:val="18"/>
          <w:szCs w:val="18"/>
        </w:rPr>
        <w:br/>
      </w:r>
      <w:r w:rsidRPr="00C73E8C">
        <w:rPr>
          <w:rFonts w:hint="eastAsia"/>
          <w:sz w:val="21"/>
          <w:szCs w:val="21"/>
        </w:rPr>
        <w:t xml:space="preserve">　　（三）申报资料不齐全或者不符合形式审查要求的，应当在5个工作日内一次告知申请人需要补正的全部内容，逾期不告知的，自收到申报资料之日起即为受理；</w:t>
      </w:r>
      <w:r w:rsidRPr="00C73E8C">
        <w:rPr>
          <w:rFonts w:hint="eastAsia"/>
          <w:sz w:val="18"/>
          <w:szCs w:val="18"/>
        </w:rPr>
        <w:br/>
      </w:r>
      <w:r w:rsidRPr="00C73E8C">
        <w:rPr>
          <w:rFonts w:hint="eastAsia"/>
          <w:sz w:val="21"/>
          <w:szCs w:val="21"/>
        </w:rPr>
        <w:t xml:space="preserve">　　（四）申请事项不属于本部门职权范围的，应当即时告知申请人不予受理。</w:t>
      </w:r>
      <w:r w:rsidRPr="00C73E8C">
        <w:rPr>
          <w:rFonts w:hint="eastAsia"/>
          <w:sz w:val="18"/>
          <w:szCs w:val="18"/>
        </w:rPr>
        <w:br/>
      </w:r>
      <w:r w:rsidRPr="00C73E8C">
        <w:rPr>
          <w:rFonts w:hint="eastAsia"/>
          <w:sz w:val="21"/>
          <w:szCs w:val="21"/>
        </w:rPr>
        <w:t xml:space="preserve">　　食品药品监督管理部门受理或者不予受理医疗器械注册申请，应当出具加盖本部门专用印章并注明日期的受理或者不予受理的通知书。</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第三十三条　受理注册申请的食品药品监督管理部门应当自受理之日起3个工作日内将申报资料转交技术审评机构。</w:t>
      </w:r>
      <w:r w:rsidRPr="00C73E8C">
        <w:rPr>
          <w:rFonts w:hint="eastAsia"/>
          <w:sz w:val="18"/>
          <w:szCs w:val="18"/>
        </w:rPr>
        <w:br/>
      </w:r>
      <w:r w:rsidRPr="00C73E8C">
        <w:rPr>
          <w:rFonts w:hint="eastAsia"/>
          <w:sz w:val="21"/>
          <w:szCs w:val="21"/>
        </w:rPr>
        <w:t xml:space="preserve">　　技术审评机构应当在60个工作日内完成第二类医疗器械注册的技术审评工作，在90个工作日内完成第三类医疗器械注册的技术审评工作。</w:t>
      </w:r>
      <w:r w:rsidRPr="00C73E8C">
        <w:rPr>
          <w:rFonts w:hint="eastAsia"/>
          <w:sz w:val="18"/>
          <w:szCs w:val="18"/>
        </w:rPr>
        <w:br/>
      </w:r>
      <w:r w:rsidRPr="00C73E8C">
        <w:rPr>
          <w:rFonts w:hint="eastAsia"/>
          <w:sz w:val="21"/>
          <w:szCs w:val="21"/>
        </w:rPr>
        <w:t xml:space="preserve">　　需要外聘专家审评、药械组合产品需与药品审评机构联合审评的，所需时间不计算在内，技术审评机构应当将所需时间书面告知申请人。</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第三十四条　食品药品监督管理部门在组织产品技术审评时可以调阅原始研究资料，并组织对申请人进行与产品研制、生产有关的质量管理体系核查。</w:t>
      </w:r>
      <w:r w:rsidRPr="00C73E8C">
        <w:rPr>
          <w:rFonts w:hint="eastAsia"/>
          <w:sz w:val="18"/>
          <w:szCs w:val="18"/>
        </w:rPr>
        <w:br/>
      </w:r>
      <w:r w:rsidRPr="00C73E8C">
        <w:rPr>
          <w:rFonts w:hint="eastAsia"/>
          <w:sz w:val="21"/>
          <w:szCs w:val="21"/>
        </w:rPr>
        <w:t xml:space="preserve">　　境内第二类、第三类医疗器械注册质量管理体系核查，由省、自治区、直辖市食品药品监督管理部门开展，其中境内第三类医疗器械注册质量管理体系核查，由国家食品药品监督管理总局技术审评机构通知相应省、自治区、直辖市食品药品监督管理部门开展核查，必要时参与核查。省、自治区、直辖市食品药品监督管理部门应当在30个工作日内根据相关要求完成体系核查。</w:t>
      </w:r>
      <w:r w:rsidRPr="00C73E8C">
        <w:rPr>
          <w:rFonts w:hint="eastAsia"/>
          <w:sz w:val="18"/>
          <w:szCs w:val="18"/>
        </w:rPr>
        <w:br/>
      </w:r>
      <w:r w:rsidRPr="00C73E8C">
        <w:rPr>
          <w:rFonts w:hint="eastAsia"/>
          <w:sz w:val="21"/>
          <w:szCs w:val="21"/>
        </w:rPr>
        <w:t xml:space="preserve">　　国家食品药品监督管理总局技术审评机构在对进口第二类、第三类医疗器械开展技术审评时，认为有必要进行质量管理体系核查的，通知国家食品药品监督管理总局质量管理体系检查技术机构根据相关要求开展核查，必要时技术审评机构参与核查。</w:t>
      </w:r>
      <w:r w:rsidRPr="00C73E8C">
        <w:rPr>
          <w:rFonts w:hint="eastAsia"/>
          <w:sz w:val="18"/>
          <w:szCs w:val="18"/>
        </w:rPr>
        <w:br/>
      </w:r>
      <w:r w:rsidRPr="00C73E8C">
        <w:rPr>
          <w:rFonts w:hint="eastAsia"/>
          <w:sz w:val="21"/>
          <w:szCs w:val="21"/>
        </w:rPr>
        <w:t xml:space="preserve">　　质量管理体系核查的时间不计算在审评时限内。</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第三十五条　技术审评过程中需要申请人补正资料的，技术审评机构应当一次告知需要补正的全部内容。申请人应当在１年内按照补正通知的要求一次提供补充资料；技术审评机构应当自收到补充资料之日起60个工作日内完成技术审评。申请人补充资料的时间不计算在审评时限内。</w:t>
      </w:r>
      <w:r w:rsidRPr="00C73E8C">
        <w:rPr>
          <w:rFonts w:hint="eastAsia"/>
          <w:sz w:val="18"/>
          <w:szCs w:val="18"/>
        </w:rPr>
        <w:br/>
      </w:r>
      <w:r w:rsidRPr="00C73E8C">
        <w:rPr>
          <w:rFonts w:hint="eastAsia"/>
          <w:sz w:val="21"/>
          <w:szCs w:val="21"/>
        </w:rPr>
        <w:t xml:space="preserve">　　申请人对补正资料通知内容有异议的，可以向相应的技术审评机构提出书面意见，说明</w:t>
      </w:r>
      <w:r w:rsidRPr="00C73E8C">
        <w:rPr>
          <w:rFonts w:hint="eastAsia"/>
          <w:sz w:val="21"/>
          <w:szCs w:val="21"/>
        </w:rPr>
        <w:lastRenderedPageBreak/>
        <w:t>理由并提供相应的技术支持资料。</w:t>
      </w:r>
      <w:r w:rsidRPr="00C73E8C">
        <w:rPr>
          <w:rFonts w:hint="eastAsia"/>
          <w:sz w:val="18"/>
          <w:szCs w:val="18"/>
        </w:rPr>
        <w:br/>
      </w:r>
      <w:r w:rsidRPr="00C73E8C">
        <w:rPr>
          <w:rFonts w:hint="eastAsia"/>
          <w:sz w:val="21"/>
          <w:szCs w:val="21"/>
        </w:rPr>
        <w:t xml:space="preserve">　　申请人逾期未提交补充资料的，由技术审评机构终止技术审评，提出不予注册的建议，由食品药品监督管理部门核准后作出不予注册的决定。</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第三十六条　受理注册申请的食品药品监督管理部门应当在技术审评结束后20个工作日内作出决定。对符合安全、有效要求的，准予注册，自作出审批决定之日起10个工作日内发给医疗器械注册证，经过核准的产品技术要求以附件形式发给申请人。对不予注册的，应当书面说明理由,并同时告知申请人享有申请复审和依法申请行政复议或者提起行政诉讼的权利。</w:t>
      </w:r>
      <w:r w:rsidRPr="00C73E8C">
        <w:rPr>
          <w:rFonts w:hint="eastAsia"/>
          <w:sz w:val="18"/>
          <w:szCs w:val="18"/>
        </w:rPr>
        <w:br/>
      </w:r>
      <w:r w:rsidRPr="00C73E8C">
        <w:rPr>
          <w:rFonts w:hint="eastAsia"/>
          <w:sz w:val="21"/>
          <w:szCs w:val="21"/>
        </w:rPr>
        <w:t xml:space="preserve">　　医疗器械注册证有效期为5年。</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第三十七条　医疗器械注册事项包括许可事项和登记事项。许可事项包括产品名称、型号、规格、结构及组成、适用范围、产品技术要求、进口医疗器械的生产地址等；登记事项包括注册人名称和住所、代理人名称和住所、境内医疗器械的生产地址等。</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第三十八条　对用于治疗罕见疾病以及应对突发公共卫生事件急需的医疗器械，食品药品监督管理部门可以在批准该医疗器械注册时要求申请人在产品上市后进一步完成相关工作，并将要求载明于医疗器械注册证中。</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第三十九条　对于已受理的注册申请，有下列情形之一的，食品药品监督管理部门作出不予注册的决定，并告知申请人：</w:t>
      </w:r>
      <w:r w:rsidRPr="00C73E8C">
        <w:rPr>
          <w:rFonts w:hint="eastAsia"/>
          <w:sz w:val="18"/>
          <w:szCs w:val="18"/>
        </w:rPr>
        <w:br/>
      </w:r>
      <w:r w:rsidRPr="00C73E8C">
        <w:rPr>
          <w:rFonts w:hint="eastAsia"/>
          <w:sz w:val="21"/>
          <w:szCs w:val="21"/>
        </w:rPr>
        <w:t xml:space="preserve">　　（一）申请人对拟上市销售医疗器械的安全性、有效性进行的研究及其结果无法证明产品安全、有效的；</w:t>
      </w:r>
      <w:r w:rsidRPr="00C73E8C">
        <w:rPr>
          <w:rFonts w:hint="eastAsia"/>
          <w:sz w:val="18"/>
          <w:szCs w:val="18"/>
        </w:rPr>
        <w:br/>
      </w:r>
      <w:r w:rsidRPr="00C73E8C">
        <w:rPr>
          <w:rFonts w:hint="eastAsia"/>
          <w:sz w:val="21"/>
          <w:szCs w:val="21"/>
        </w:rPr>
        <w:t xml:space="preserve">　　（二）注册申报资料虚假的；</w:t>
      </w:r>
      <w:r w:rsidRPr="00C73E8C">
        <w:rPr>
          <w:rFonts w:hint="eastAsia"/>
          <w:sz w:val="18"/>
          <w:szCs w:val="18"/>
        </w:rPr>
        <w:br/>
      </w:r>
      <w:r w:rsidRPr="00C73E8C">
        <w:rPr>
          <w:rFonts w:hint="eastAsia"/>
          <w:sz w:val="21"/>
          <w:szCs w:val="21"/>
        </w:rPr>
        <w:t xml:space="preserve">　　（三）注册申报资料内容混乱、矛盾的；</w:t>
      </w:r>
      <w:r w:rsidRPr="00C73E8C">
        <w:rPr>
          <w:rFonts w:hint="eastAsia"/>
          <w:sz w:val="18"/>
          <w:szCs w:val="18"/>
        </w:rPr>
        <w:br/>
      </w:r>
      <w:r w:rsidRPr="00C73E8C">
        <w:rPr>
          <w:rFonts w:hint="eastAsia"/>
          <w:sz w:val="21"/>
          <w:szCs w:val="21"/>
        </w:rPr>
        <w:t xml:space="preserve">　　（四）注册申报资料的内容与申报项目明显不符的；</w:t>
      </w:r>
      <w:r w:rsidRPr="00C73E8C">
        <w:rPr>
          <w:rStyle w:val="apple-converted-space"/>
          <w:rFonts w:hint="eastAsia"/>
          <w:sz w:val="21"/>
          <w:szCs w:val="21"/>
        </w:rPr>
        <w:t> </w:t>
      </w:r>
      <w:r w:rsidRPr="00C73E8C">
        <w:rPr>
          <w:rFonts w:hint="eastAsia"/>
          <w:sz w:val="18"/>
          <w:szCs w:val="18"/>
        </w:rPr>
        <w:br/>
      </w:r>
      <w:r w:rsidRPr="00C73E8C">
        <w:rPr>
          <w:rFonts w:hint="eastAsia"/>
          <w:sz w:val="21"/>
          <w:szCs w:val="21"/>
        </w:rPr>
        <w:t xml:space="preserve">　　（五）不予注册的其他情形。</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第四十条　对于已受理的注册申请，申请人可以在行政许可决定作出前，向受理该申请的食品药品监督管理部门申请撤回注册申请及相关资料，并说明理由。</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第四十一条　对于已受理的注册申请，有证据表明注册申报资料可能虚假的，食品药品监督管理部门可以中止审批。经核实后，根据核实结论继续审查或者作出不予注册的决定。</w:t>
      </w:r>
    </w:p>
    <w:p w:rsidR="00254EEF" w:rsidRPr="00C73E8C" w:rsidRDefault="00254EEF" w:rsidP="00254EEF">
      <w:pPr>
        <w:pStyle w:val="a5"/>
        <w:wordWrap w:val="0"/>
        <w:spacing w:line="420" w:lineRule="atLeast"/>
        <w:rPr>
          <w:sz w:val="21"/>
          <w:szCs w:val="21"/>
        </w:rPr>
      </w:pPr>
      <w:r w:rsidRPr="00C73E8C">
        <w:rPr>
          <w:rFonts w:hint="eastAsia"/>
          <w:sz w:val="21"/>
          <w:szCs w:val="21"/>
        </w:rPr>
        <w:lastRenderedPageBreak/>
        <w:t xml:space="preserve">　　第四十二条　申请人对食品药品监督管理部门作出的不予注册决定有异议的，可以自收到不予注册决定通知之日起20个工作日内，向作出审批决定的食品药品监督管理部门提出复审申请。复审申请的内容仅限于原申请事项和原申报资料。</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第四十三条　食品药品监督管理部门应当自受理复审申请之日起30个工作日内作出复审决定，并书面通知申请人。维持原决定的，食品药品监督管理部门不再受理申请人再次提出的复审申请。</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第四十四条　申请人对食品药品监督管理部门作出的不予注册的决定有异议，且已申请行政复议或者提起行政诉讼的，食品药品监督管理部门不受理其复审申请。</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第四十五条　医疗器械注册证遗失的，注册人应当立即在原发证机关指定的媒体上登载遗失声明。自登载遗失声明之日起满1个月后，向原发证机关申请补发，原发证机关在20个工作日内予以补发。</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第四十六条　医疗器械注册申请直接涉及申请人与他人之间重大利益关系的，食品药品监督管理部门应当告知申请人、利害关系人可以依照法律、法规以及国家食品药品监督管理总局的其他规定享有申请听证的权利；对医疗器械注册申请进行审查时，食品药品监督管理部门认为属于涉及公共利益的重大许可事项，应当向社会公告，并举行听证。</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第四十七条　对新研制的尚未列入分类目录的医疗器械，申请人可以直接申请第三类医疗器械产品注册，也可以依据分类规则判断产品类别并向国家食品药品监督管理总局申请类别确认后，申请产品注册或者办理产品备案。</w:t>
      </w:r>
      <w:r w:rsidRPr="00C73E8C">
        <w:rPr>
          <w:rFonts w:hint="eastAsia"/>
          <w:sz w:val="18"/>
          <w:szCs w:val="18"/>
        </w:rPr>
        <w:br/>
      </w:r>
      <w:r w:rsidRPr="00C73E8C">
        <w:rPr>
          <w:rFonts w:hint="eastAsia"/>
          <w:sz w:val="21"/>
          <w:szCs w:val="21"/>
        </w:rPr>
        <w:t xml:space="preserve">　　直接申请第三类医疗器械注册的，国家食品药品监督管理总局按照风险程度确定类别。境内医疗器械确定为第二类的，国家食品药品监督管理总局将申报资料转申请人所在地省、自治区、直辖市食品药品监督管理部门审评审批；境内医疗器械确定为第一类的，国家食品药品监督管理总局将申报资料转申请人所在地设区的市级食品药品监督管理部门备案。</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第四十八条　注册申请审查过程中及批准后发生专利权纠纷的，应当按照有关法律、法规的规定处理。</w:t>
      </w:r>
    </w:p>
    <w:p w:rsidR="00254EEF" w:rsidRPr="00C73E8C" w:rsidRDefault="00254EEF" w:rsidP="00254EEF">
      <w:pPr>
        <w:pStyle w:val="a5"/>
        <w:wordWrap w:val="0"/>
        <w:spacing w:line="420" w:lineRule="atLeast"/>
        <w:jc w:val="center"/>
        <w:rPr>
          <w:sz w:val="21"/>
          <w:szCs w:val="21"/>
        </w:rPr>
      </w:pPr>
      <w:r w:rsidRPr="00C73E8C">
        <w:rPr>
          <w:rFonts w:hint="eastAsia"/>
          <w:sz w:val="21"/>
          <w:szCs w:val="21"/>
        </w:rPr>
        <w:t>第六章　注册变更</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第四十九条　已注册的第二类、第三类医疗器械，医疗器械注册证及其附件载明的内容发生变化，注册人应当向原注册部门申请注册变更，并按照相关要求提交申报资料。</w:t>
      </w:r>
      <w:r w:rsidRPr="00C73E8C">
        <w:rPr>
          <w:rFonts w:hint="eastAsia"/>
          <w:sz w:val="18"/>
          <w:szCs w:val="18"/>
        </w:rPr>
        <w:br/>
      </w:r>
      <w:r w:rsidRPr="00C73E8C">
        <w:rPr>
          <w:rFonts w:hint="eastAsia"/>
          <w:sz w:val="21"/>
          <w:szCs w:val="21"/>
        </w:rPr>
        <w:lastRenderedPageBreak/>
        <w:t xml:space="preserve">　　产品名称、型号、规格、结构及组成、适用范围、产品技术要求、进口医疗器械生产地址等发生变化的，注册人应当向原注册部门申请许可事项变更。</w:t>
      </w:r>
      <w:r w:rsidRPr="00C73E8C">
        <w:rPr>
          <w:rFonts w:hint="eastAsia"/>
          <w:sz w:val="18"/>
          <w:szCs w:val="18"/>
        </w:rPr>
        <w:br/>
      </w:r>
      <w:r w:rsidRPr="00C73E8C">
        <w:rPr>
          <w:rFonts w:hint="eastAsia"/>
          <w:sz w:val="21"/>
          <w:szCs w:val="21"/>
        </w:rPr>
        <w:t xml:space="preserve">　　注册人名称和住所、代理人名称和住所发生变化的，注册人应当向原注册部门申请登记事项变更；境内医疗器械生产地址变更的，注册人应当在相应的生产许可变更后办理注册登记事项变更。</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第五十条　登记事项变更资料符合要求的，食品药品监督管理部门应当在10个工作日内发给医疗器械注册变更文件。登记事项变更资料不齐全或者不符合形式审查要求的，食品药品监督管理部门应当一次告知需要补正的全部内容。</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第五十一条　对于许可事项变更，技术审评机构应当重点针对变化部分进行审评，对变化后产品是否安全、有效作出评价。</w:t>
      </w:r>
      <w:r w:rsidRPr="00C73E8C">
        <w:rPr>
          <w:rFonts w:hint="eastAsia"/>
          <w:sz w:val="18"/>
          <w:szCs w:val="18"/>
        </w:rPr>
        <w:br/>
      </w:r>
      <w:r w:rsidRPr="00C73E8C">
        <w:rPr>
          <w:rFonts w:hint="eastAsia"/>
          <w:sz w:val="21"/>
          <w:szCs w:val="21"/>
        </w:rPr>
        <w:t xml:space="preserve">　　受理许可事项变更申请的食品药品监督管理部门应当按照本办法第五章规定的时限组织技术审评。</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第五十二条　医疗器械注册变更文件与原医疗器械注册证合并使用，其有效期与该注册证相同。取得注册变更文件后，注册人应当根据变更内容自行修改产品技术要求、说明书和标签。</w:t>
      </w:r>
    </w:p>
    <w:p w:rsidR="00254EEF" w:rsidRPr="00C73E8C" w:rsidRDefault="00254EEF" w:rsidP="00254EEF">
      <w:pPr>
        <w:pStyle w:val="a5"/>
        <w:wordWrap w:val="0"/>
        <w:spacing w:line="420" w:lineRule="atLeast"/>
        <w:rPr>
          <w:sz w:val="21"/>
          <w:szCs w:val="21"/>
        </w:rPr>
      </w:pPr>
      <w:r w:rsidRPr="00C73E8C">
        <w:rPr>
          <w:rFonts w:hint="eastAsia"/>
          <w:sz w:val="21"/>
          <w:szCs w:val="21"/>
        </w:rPr>
        <w:t xml:space="preserve">　　第五十三条　许可事项变更申请的受理与审批程序，本章未作规定的，适用本办法第五章的相关规定。</w:t>
      </w:r>
    </w:p>
    <w:tbl>
      <w:tblPr>
        <w:tblW w:w="5000" w:type="pct"/>
        <w:tblCellSpacing w:w="0" w:type="dxa"/>
        <w:tblCellMar>
          <w:left w:w="0" w:type="dxa"/>
          <w:right w:w="0" w:type="dxa"/>
        </w:tblCellMar>
        <w:tblLook w:val="04A0"/>
      </w:tblPr>
      <w:tblGrid>
        <w:gridCol w:w="8306"/>
      </w:tblGrid>
      <w:tr w:rsidR="00254EEF" w:rsidRPr="00C73E8C" w:rsidTr="00254EEF">
        <w:trPr>
          <w:tblCellSpacing w:w="0" w:type="dxa"/>
        </w:trPr>
        <w:tc>
          <w:tcPr>
            <w:tcW w:w="0" w:type="auto"/>
            <w:tcMar>
              <w:top w:w="300" w:type="dxa"/>
              <w:left w:w="0" w:type="dxa"/>
              <w:bottom w:w="0" w:type="dxa"/>
              <w:right w:w="0" w:type="dxa"/>
            </w:tcMar>
            <w:vAlign w:val="center"/>
            <w:hideMark/>
          </w:tcPr>
          <w:p w:rsidR="00254EEF" w:rsidRPr="00C73E8C" w:rsidRDefault="00254EEF" w:rsidP="00254EEF">
            <w:pPr>
              <w:widowControl/>
              <w:wordWrap w:val="0"/>
              <w:spacing w:before="100" w:beforeAutospacing="1" w:after="100" w:afterAutospacing="1" w:line="420" w:lineRule="atLeast"/>
              <w:jc w:val="center"/>
              <w:rPr>
                <w:rFonts w:ascii="宋体" w:eastAsia="宋体" w:hAnsi="宋体" w:cs="宋体"/>
                <w:kern w:val="0"/>
                <w:szCs w:val="21"/>
              </w:rPr>
            </w:pPr>
            <w:r w:rsidRPr="00C73E8C">
              <w:rPr>
                <w:rFonts w:ascii="宋体" w:eastAsia="宋体" w:hAnsi="宋体" w:cs="宋体" w:hint="eastAsia"/>
                <w:kern w:val="0"/>
                <w:szCs w:val="21"/>
              </w:rPr>
              <w:t>第七章　延续注册</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第五十四条　医疗器械注册证有效期届满需要延续注册的，注册人应当在医疗器械注册证有效期届满6个月前，向食品药品监督管理部门申请延续注册，并按照相关要求提交申报资料。</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除有本办法第五十五条规定情形外，接到延续注册申请的食品药品监督管理部门应当在医疗器械注册证有效期届满前作出准予延续的决定。逾期未作决定的，视为准予延续。</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第五十五条　有下列情形之一的，不予延续注册：</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（一）注册人未在规定期限内提出延续注册申请的；</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（二）医疗器械强制性标准已经修订，该医疗器械不能达到新要求的；</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（三）对用于治疗罕见疾病以及应对突发公共卫生事件急需的医疗器械，批准注册部门</w:t>
            </w:r>
            <w:r w:rsidRPr="00C73E8C">
              <w:rPr>
                <w:rFonts w:ascii="宋体" w:eastAsia="宋体" w:hAnsi="宋体" w:cs="宋体" w:hint="eastAsia"/>
                <w:kern w:val="0"/>
                <w:szCs w:val="21"/>
              </w:rPr>
              <w:lastRenderedPageBreak/>
              <w:t>在批准上市时提出要求，注册人未在规定期限内完成医疗器械注册证载明事项的。</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第五十六条　医疗器械延续注册申请的受理与审批程序，本章未作规定的，适用本办法第五章的相关规定。</w:t>
            </w:r>
          </w:p>
          <w:p w:rsidR="00254EEF" w:rsidRPr="00C73E8C" w:rsidRDefault="00254EEF" w:rsidP="00254EEF">
            <w:pPr>
              <w:widowControl/>
              <w:wordWrap w:val="0"/>
              <w:spacing w:before="100" w:beforeAutospacing="1" w:after="100" w:afterAutospacing="1" w:line="420" w:lineRule="atLeast"/>
              <w:jc w:val="center"/>
              <w:rPr>
                <w:rFonts w:ascii="宋体" w:eastAsia="宋体" w:hAnsi="宋体" w:cs="宋体"/>
                <w:kern w:val="0"/>
                <w:szCs w:val="21"/>
              </w:rPr>
            </w:pPr>
            <w:r w:rsidRPr="00C73E8C">
              <w:rPr>
                <w:rFonts w:ascii="宋体" w:eastAsia="宋体" w:hAnsi="宋体" w:cs="宋体" w:hint="eastAsia"/>
                <w:kern w:val="0"/>
                <w:szCs w:val="21"/>
              </w:rPr>
              <w:t>第八章　产品备案</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第五十七条　第一类医疗器械生产前，应当办理产品备案。</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第五十八条　办理医疗器械备案，备案人应当按照《医疗器械监督管理条例》第九条的规定提交备案资料。</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备案资料符合要求的，食品药品监督管理部门应当当场备案；备案资料不齐全或者不符合规定形式的，应当一次告知需要补正的全部内容，由备案人补正后备案。</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对备案的医疗器械，食品药品监督管理部门应当按照相关要求的格式制作备案凭证，并将备案信息表中登载的信息在其网站上予以公布。</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第五十九条　已备案的医疗器械，备案信息表中登载内容及备案的产品技术要求发生变化的，备案人应当提交变化情况的说明及相关证明文件，向原备案部门提出变更备案信息。备案资料符合形式要求的，食品药品监督管理部门应当将变更情况登载于变更信息中，将备案资料存档。</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第六十条　已备案的医疗器械管理类别调整的，备案人应当主动向食品药品监督管理部门提出取消原备案；管理类别调整为第二类或者第三类医疗器械的，按照本办法规定申请注册。</w:t>
            </w:r>
          </w:p>
          <w:p w:rsidR="00254EEF" w:rsidRPr="00C73E8C" w:rsidRDefault="00254EEF" w:rsidP="00254EEF">
            <w:pPr>
              <w:widowControl/>
              <w:wordWrap w:val="0"/>
              <w:spacing w:before="100" w:beforeAutospacing="1" w:after="100" w:afterAutospacing="1" w:line="420" w:lineRule="atLeast"/>
              <w:jc w:val="center"/>
              <w:rPr>
                <w:rFonts w:ascii="宋体" w:eastAsia="宋体" w:hAnsi="宋体" w:cs="宋体"/>
                <w:kern w:val="0"/>
                <w:szCs w:val="21"/>
              </w:rPr>
            </w:pPr>
            <w:r w:rsidRPr="00C73E8C">
              <w:rPr>
                <w:rFonts w:ascii="宋体" w:eastAsia="宋体" w:hAnsi="宋体" w:cs="宋体" w:hint="eastAsia"/>
                <w:kern w:val="0"/>
                <w:szCs w:val="21"/>
              </w:rPr>
              <w:t>第九章　监督管理</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第六十一条　国家食品药品监督管理总局负责全国医疗器械注册与备案的监督管理工作，对地方食品药品监督管理部门医疗器械注册与备案工作进行监督和指导。</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第六十二条　省、自治区、直辖市食品药品监督管理部门负责本行政区域的医疗器械注册与备案的监督管理工作，组织开展监督检查，并将有关情况及时报送国家食品药品监督管理总局。</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第六十三条　省、自治区、直辖市食品药品监督管理部门按照属地管理原则，对进口医</w:t>
            </w:r>
            <w:r w:rsidRPr="00C73E8C">
              <w:rPr>
                <w:rFonts w:ascii="宋体" w:eastAsia="宋体" w:hAnsi="宋体" w:cs="宋体" w:hint="eastAsia"/>
                <w:kern w:val="0"/>
                <w:szCs w:val="21"/>
              </w:rPr>
              <w:lastRenderedPageBreak/>
              <w:t>疗器械代理人注册与备案相关工作实施日常监督管理。</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第六十四条　设区的市级食品药品监督管理部门应当定期对备案工作开展检查，并及时向省、自治区、直辖市食品药品监督管理部门报送相关信息。</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第六十五条　已注册的医疗器械有法律、法规规定应当注销的情形，或者注册证有效期未满但注册人主动提出注销的，食品药品监督管理部门应当依法注销，并向社会公布。</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第六十六条　已注册的医疗器械，其管理类别由高类别调整为低类别的，在有效期内的医疗器械注册证继续有效。如需延续的，注册人应当在医疗器械注册证有效期届满6个月前，按照改变后的类别向食品药品监督管理部门申请延续注册或者办理备案。</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医疗器械管理类别由低类别调整为高类别的，注册人应当依照本办法第五章的规定，按照改变后的类别向食品药品监督管理部门申请注册。国家食品药品监督管理总局在管理类别调整通知中应当对完成调整的时限作出规定。</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第六十七条　省、自治区、直辖市食品药品监督管理部门违反本办法规定实施医疗器械注册的，由国家食品药品监督管理总局责令限期改正；逾期不改正的，国家食品药品监督管理总局可以直接公告撤销该医疗器械注册证。</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第六十八条　食品药品监督管理部门、相关技术机构及其工作人员，对申请人或者备案人提交的试验数据和技术秘密负有保密义务。</w:t>
            </w:r>
          </w:p>
          <w:p w:rsidR="00254EEF" w:rsidRPr="00C73E8C" w:rsidRDefault="00254EEF" w:rsidP="00254EEF">
            <w:pPr>
              <w:widowControl/>
              <w:wordWrap w:val="0"/>
              <w:spacing w:before="100" w:beforeAutospacing="1" w:after="100" w:afterAutospacing="1" w:line="420" w:lineRule="atLeast"/>
              <w:jc w:val="center"/>
              <w:rPr>
                <w:rFonts w:ascii="宋体" w:eastAsia="宋体" w:hAnsi="宋体" w:cs="宋体"/>
                <w:kern w:val="0"/>
                <w:szCs w:val="21"/>
              </w:rPr>
            </w:pPr>
            <w:r w:rsidRPr="00C73E8C">
              <w:rPr>
                <w:rFonts w:ascii="宋体" w:eastAsia="宋体" w:hAnsi="宋体" w:cs="宋体" w:hint="eastAsia"/>
                <w:kern w:val="0"/>
                <w:szCs w:val="21"/>
              </w:rPr>
              <w:t>第十章　法律责任</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第六十九条　提供虚假资料或者采取其他欺骗手段取得医疗器械注册证的，按照《医疗器械监督管理条例》第六十四条第一款的规定予以处罚。</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备案时提供虚假资料的，按照《医疗器械监督管理条例》第六十五条第二款的规定予以处罚。</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第七十条　伪造、变造、买卖、出租、出借医疗器械注册证的，按照《医疗器械监督管理条例》第六十四条第二款的规定予以处罚。</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第七十一条　违反本办法规定，未依法办理第一类医疗器械变更备案或者第二类、第三类医疗器械注册登记事项变更的，按照《医疗器械监督管理条例》有关未备案的情形予以处</w:t>
            </w:r>
            <w:r w:rsidRPr="00C73E8C">
              <w:rPr>
                <w:rFonts w:ascii="宋体" w:eastAsia="宋体" w:hAnsi="宋体" w:cs="宋体" w:hint="eastAsia"/>
                <w:kern w:val="0"/>
                <w:szCs w:val="21"/>
              </w:rPr>
              <w:lastRenderedPageBreak/>
              <w:t>罚。</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第七十二条　违反本办法规定，未依法办理医疗器械注册许可事项变更的，按照《医疗器械监督管理条例》有关未取得医疗器械注册证的情形予以处罚。</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第七十三条　申请人未按照《医疗器械监督管理条例》和本办法规定开展临床试验的，由县级以上食品药品监督管理部门责令改正，可以处3万元以下罚款；情节严重的，应当立即停止临床试验，已取得临床试验批准文件的，予以注销。</w:t>
            </w:r>
          </w:p>
          <w:p w:rsidR="00254EEF" w:rsidRPr="00C73E8C" w:rsidRDefault="00254EEF" w:rsidP="00254EEF">
            <w:pPr>
              <w:widowControl/>
              <w:wordWrap w:val="0"/>
              <w:spacing w:before="100" w:beforeAutospacing="1" w:after="100" w:afterAutospacing="1" w:line="420" w:lineRule="atLeast"/>
              <w:jc w:val="center"/>
              <w:rPr>
                <w:rFonts w:ascii="宋体" w:eastAsia="宋体" w:hAnsi="宋体" w:cs="宋体"/>
                <w:kern w:val="0"/>
                <w:szCs w:val="21"/>
              </w:rPr>
            </w:pPr>
            <w:r w:rsidRPr="00C73E8C">
              <w:rPr>
                <w:rFonts w:ascii="宋体" w:eastAsia="宋体" w:hAnsi="宋体" w:cs="宋体" w:hint="eastAsia"/>
                <w:kern w:val="0"/>
                <w:szCs w:val="21"/>
              </w:rPr>
              <w:t>第十一章　附　则</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第七十四条　医疗器械注册或者备案单元原则上以产品的技术原理、结构组成、性能指标和适用范围为划分依据。</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第七十五条　医疗器械注册证中“结构及组成”栏内所载明的组合部件，以更换耗材、售后服务、维修等为目的，用于原注册产品的，可以单独销售。</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第七十六条　医疗器械注册证格式由国家食品药品监督管理总局统一制定。</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注册证编号的编排方式为：</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×1械注×2××××3×4××5××××6。其中：</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×1为注册审批部门所在地的简称：</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境内第三类医疗器械、进口第二类、第三类医疗器械为“国”字；</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境内第二类医疗器械为注册审批部门所在地省、自治区、直辖市简称；</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×2为注册形式：</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“准”字适用于境内医疗器械；</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“进”字适用于进口医疗器械；</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“许”字适用于香港、澳门、台湾地区的医疗器械；</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××××3为首次注册年份；</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×4为产品管理类别；</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××5为产品分类编码；</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××××6为首次注册流水号。</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延续注册的，××××3和××××6数字不变。产品管理类别调整的，应当重新编号。</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第七十七条　第一类医疗器械备案凭证编号的编排方式为：</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lastRenderedPageBreak/>
              <w:t xml:space="preserve">　　×1械备××××2××××3号。</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其中：</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×1为备案部门所在地的简称：</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进口第一类医疗器械为“国”字；</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境内第一类医疗器械为备案部门所在地省、自治区、直辖市简称加所在地设区的市级行政区域的简称（无相应设区的市级行政区域时，仅为省、自治区、直辖市的简称）；</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××××2为备案年份；</w:t>
            </w:r>
            <w:r w:rsidRPr="00C73E8C">
              <w:rPr>
                <w:rFonts w:ascii="宋体" w:eastAsia="宋体" w:hAnsi="宋体" w:cs="宋体" w:hint="eastAsia"/>
                <w:kern w:val="0"/>
                <w:sz w:val="18"/>
                <w:szCs w:val="18"/>
              </w:rPr>
              <w:br/>
            </w:r>
            <w:r w:rsidRPr="00C73E8C">
              <w:rPr>
                <w:rFonts w:ascii="宋体" w:eastAsia="宋体" w:hAnsi="宋体" w:cs="宋体" w:hint="eastAsia"/>
                <w:kern w:val="0"/>
                <w:szCs w:val="21"/>
              </w:rPr>
              <w:t xml:space="preserve">　　××××3为备案流水号。</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第七十八条　按医疗器械管理的体外诊断试剂的注册与备案适用《体外诊断试剂注册管理办法》。</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第七十九条　医疗器械应急审批程序和创新医疗器械特别审批程序由国家食品药品监督管理总局另行制定。</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第八十条　根据工作需要，国家食品药品监督管理总局可以委托省、自治区、直辖市食品药品监督管理部门或者技术机构、相关社会组织承担医疗器械注册有关的具体工作。</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第八十一条　医疗器械产品注册收费项目、收费标准按照国务院财政、价格主管部门的有关规定执行。</w:t>
            </w:r>
          </w:p>
          <w:p w:rsidR="00254EEF" w:rsidRPr="00C73E8C" w:rsidRDefault="00254EEF" w:rsidP="00254EEF">
            <w:pPr>
              <w:widowControl/>
              <w:wordWrap w:val="0"/>
              <w:spacing w:before="100" w:beforeAutospacing="1" w:after="100" w:afterAutospacing="1" w:line="420" w:lineRule="atLeast"/>
              <w:jc w:val="left"/>
              <w:rPr>
                <w:rFonts w:ascii="宋体" w:eastAsia="宋体" w:hAnsi="宋体" w:cs="宋体"/>
                <w:kern w:val="0"/>
                <w:szCs w:val="21"/>
              </w:rPr>
            </w:pPr>
            <w:r w:rsidRPr="00C73E8C">
              <w:rPr>
                <w:rFonts w:ascii="宋体" w:eastAsia="宋体" w:hAnsi="宋体" w:cs="宋体" w:hint="eastAsia"/>
                <w:kern w:val="0"/>
                <w:szCs w:val="21"/>
              </w:rPr>
              <w:t xml:space="preserve">　　第八十二条　本办法自2014年10月1日起施行。2004年8月9日公布的《医疗器械注册管理办法》（原国家食品药品监督管理局令第16号）同时废止。</w:t>
            </w:r>
          </w:p>
        </w:tc>
      </w:tr>
      <w:tr w:rsidR="00254EEF" w:rsidRPr="00C73E8C" w:rsidTr="00254EEF">
        <w:trPr>
          <w:tblCellSpacing w:w="0" w:type="dxa"/>
        </w:trPr>
        <w:tc>
          <w:tcPr>
            <w:tcW w:w="0" w:type="auto"/>
            <w:vAlign w:val="center"/>
            <w:hideMark/>
          </w:tcPr>
          <w:p w:rsidR="00254EEF" w:rsidRPr="00C73E8C" w:rsidRDefault="00254EEF" w:rsidP="00254EEF">
            <w:pPr>
              <w:widowControl/>
              <w:jc w:val="left"/>
              <w:rPr>
                <w:rFonts w:ascii="宋体" w:eastAsia="宋体" w:hAnsi="宋体" w:cs="宋体"/>
                <w:kern w:val="0"/>
                <w:sz w:val="24"/>
                <w:szCs w:val="24"/>
              </w:rPr>
            </w:pPr>
          </w:p>
        </w:tc>
      </w:tr>
    </w:tbl>
    <w:p w:rsidR="009D1839" w:rsidRPr="00C73E8C" w:rsidRDefault="009D1839"/>
    <w:sectPr w:rsidR="009D1839" w:rsidRPr="00C73E8C" w:rsidSect="001F21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FA1" w:rsidRDefault="00487FA1" w:rsidP="00254EEF">
      <w:r>
        <w:separator/>
      </w:r>
    </w:p>
  </w:endnote>
  <w:endnote w:type="continuationSeparator" w:id="0">
    <w:p w:rsidR="00487FA1" w:rsidRDefault="00487FA1" w:rsidP="00254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FA1" w:rsidRDefault="00487FA1" w:rsidP="00254EEF">
      <w:r>
        <w:separator/>
      </w:r>
    </w:p>
  </w:footnote>
  <w:footnote w:type="continuationSeparator" w:id="0">
    <w:p w:rsidR="00487FA1" w:rsidRDefault="00487FA1" w:rsidP="00254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4EEF"/>
    <w:rsid w:val="00133ABC"/>
    <w:rsid w:val="001459CD"/>
    <w:rsid w:val="001F211F"/>
    <w:rsid w:val="002348E5"/>
    <w:rsid w:val="00254EEF"/>
    <w:rsid w:val="003E4102"/>
    <w:rsid w:val="00487FA1"/>
    <w:rsid w:val="004F3ECE"/>
    <w:rsid w:val="00657675"/>
    <w:rsid w:val="00660BB1"/>
    <w:rsid w:val="006F3688"/>
    <w:rsid w:val="00734149"/>
    <w:rsid w:val="007C55E0"/>
    <w:rsid w:val="0082009E"/>
    <w:rsid w:val="00884212"/>
    <w:rsid w:val="009D1839"/>
    <w:rsid w:val="00A8567A"/>
    <w:rsid w:val="00AB7DC9"/>
    <w:rsid w:val="00AC417F"/>
    <w:rsid w:val="00AE089E"/>
    <w:rsid w:val="00BE4853"/>
    <w:rsid w:val="00C73E8C"/>
    <w:rsid w:val="00C74A8D"/>
    <w:rsid w:val="00C84CBE"/>
    <w:rsid w:val="00C93978"/>
    <w:rsid w:val="00D26B73"/>
    <w:rsid w:val="00D32BE2"/>
    <w:rsid w:val="00D932B6"/>
    <w:rsid w:val="00DA1EFB"/>
    <w:rsid w:val="00DA6D0D"/>
    <w:rsid w:val="00DC4CA0"/>
    <w:rsid w:val="00E038A4"/>
    <w:rsid w:val="00E1206E"/>
    <w:rsid w:val="00E405EF"/>
    <w:rsid w:val="00E8005F"/>
    <w:rsid w:val="00F33A19"/>
    <w:rsid w:val="00FE5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1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4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4EEF"/>
    <w:rPr>
      <w:sz w:val="18"/>
      <w:szCs w:val="18"/>
    </w:rPr>
  </w:style>
  <w:style w:type="paragraph" w:styleId="a4">
    <w:name w:val="footer"/>
    <w:basedOn w:val="a"/>
    <w:link w:val="Char0"/>
    <w:uiPriority w:val="99"/>
    <w:semiHidden/>
    <w:unhideWhenUsed/>
    <w:rsid w:val="00254E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4EEF"/>
    <w:rPr>
      <w:sz w:val="18"/>
      <w:szCs w:val="18"/>
    </w:rPr>
  </w:style>
  <w:style w:type="paragraph" w:styleId="a5">
    <w:name w:val="Normal (Web)"/>
    <w:basedOn w:val="a"/>
    <w:uiPriority w:val="99"/>
    <w:unhideWhenUsed/>
    <w:rsid w:val="00254EE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54EEF"/>
    <w:rPr>
      <w:b/>
      <w:bCs/>
    </w:rPr>
  </w:style>
  <w:style w:type="character" w:customStyle="1" w:styleId="apple-converted-space">
    <w:name w:val="apple-converted-space"/>
    <w:basedOn w:val="a0"/>
    <w:rsid w:val="00254EEF"/>
  </w:style>
</w:styles>
</file>

<file path=word/webSettings.xml><?xml version="1.0" encoding="utf-8"?>
<w:webSettings xmlns:r="http://schemas.openxmlformats.org/officeDocument/2006/relationships" xmlns:w="http://schemas.openxmlformats.org/wordprocessingml/2006/main">
  <w:divs>
    <w:div w:id="57483292">
      <w:bodyDiv w:val="1"/>
      <w:marLeft w:val="0"/>
      <w:marRight w:val="0"/>
      <w:marTop w:val="0"/>
      <w:marBottom w:val="0"/>
      <w:divBdr>
        <w:top w:val="none" w:sz="0" w:space="0" w:color="auto"/>
        <w:left w:val="none" w:sz="0" w:space="0" w:color="auto"/>
        <w:bottom w:val="none" w:sz="0" w:space="0" w:color="auto"/>
        <w:right w:val="none" w:sz="0" w:space="0" w:color="auto"/>
      </w:divBdr>
    </w:div>
    <w:div w:id="1619798736">
      <w:bodyDiv w:val="1"/>
      <w:marLeft w:val="0"/>
      <w:marRight w:val="0"/>
      <w:marTop w:val="0"/>
      <w:marBottom w:val="0"/>
      <w:divBdr>
        <w:top w:val="none" w:sz="0" w:space="0" w:color="auto"/>
        <w:left w:val="none" w:sz="0" w:space="0" w:color="auto"/>
        <w:bottom w:val="none" w:sz="0" w:space="0" w:color="auto"/>
        <w:right w:val="none" w:sz="0" w:space="0" w:color="auto"/>
      </w:divBdr>
    </w:div>
    <w:div w:id="19367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13</Pages>
  <Words>1508</Words>
  <Characters>8600</Characters>
  <Application>Microsoft Office Word</Application>
  <DocSecurity>0</DocSecurity>
  <Lines>71</Lines>
  <Paragraphs>20</Paragraphs>
  <ScaleCrop>false</ScaleCrop>
  <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15</cp:revision>
  <dcterms:created xsi:type="dcterms:W3CDTF">2014-08-01T06:27:00Z</dcterms:created>
  <dcterms:modified xsi:type="dcterms:W3CDTF">2017-01-09T01:51:00Z</dcterms:modified>
</cp:coreProperties>
</file>